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jc w:val="center"/>
        <w:rPr>
          <w:rFonts w:ascii="Google Sans" w:cs="Google Sans" w:eastAsia="Google Sans" w:hAnsi="Google Sans"/>
        </w:rPr>
      </w:pPr>
      <w:bookmarkStart w:colFirst="0" w:colLast="0" w:name="_87tykp1u0l36" w:id="0"/>
      <w:bookmarkEnd w:id="0"/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Controls and compliance checklist</w:t>
      </w:r>
    </w:p>
    <w:p w:rsidR="00000000" w:rsidDel="00000000" w:rsidP="00000000" w:rsidRDefault="00000000" w:rsidRPr="00000000" w14:paraId="00000002">
      <w:pPr>
        <w:rPr>
          <w:rFonts w:ascii="Google Sans" w:cs="Google Sans" w:eastAsia="Google Sans" w:hAnsi="Google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Google Sans" w:cs="Google Sans" w:eastAsia="Google Sans" w:hAnsi="Google Sans"/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sz w:val="24"/>
          <w:szCs w:val="24"/>
          <w:rtl w:val="0"/>
        </w:rPr>
        <w:t xml:space="preserve">To complete the controls assessment checklist, refer to the information provided in the </w:t>
      </w:r>
      <w:hyperlink r:id="rId6">
        <w:r w:rsidDel="00000000" w:rsidR="00000000" w:rsidRPr="00000000">
          <w:rPr>
            <w:rFonts w:ascii="Google Sans" w:cs="Google Sans" w:eastAsia="Google Sans" w:hAnsi="Google Sans"/>
            <w:color w:val="1155cc"/>
            <w:sz w:val="24"/>
            <w:szCs w:val="24"/>
            <w:u w:val="single"/>
            <w:rtl w:val="0"/>
          </w:rPr>
          <w:t xml:space="preserve">scope, goals, and risk assessment report</w:t>
        </w:r>
      </w:hyperlink>
      <w:r w:rsidDel="00000000" w:rsidR="00000000" w:rsidRPr="00000000">
        <w:rPr>
          <w:rFonts w:ascii="Google Sans" w:cs="Google Sans" w:eastAsia="Google Sans" w:hAnsi="Google Sans"/>
          <w:sz w:val="24"/>
          <w:szCs w:val="24"/>
          <w:rtl w:val="0"/>
        </w:rPr>
        <w:t xml:space="preserve">. For more details about each control, including the type and purpose, refer to the </w:t>
      </w:r>
      <w:hyperlink r:id="rId7">
        <w:r w:rsidDel="00000000" w:rsidR="00000000" w:rsidRPr="00000000">
          <w:rPr>
            <w:rFonts w:ascii="Google Sans" w:cs="Google Sans" w:eastAsia="Google Sans" w:hAnsi="Google Sans"/>
            <w:color w:val="1155cc"/>
            <w:sz w:val="24"/>
            <w:szCs w:val="24"/>
            <w:u w:val="single"/>
            <w:rtl w:val="0"/>
          </w:rPr>
          <w:t xml:space="preserve">control categories</w:t>
        </w:r>
      </w:hyperlink>
      <w:r w:rsidDel="00000000" w:rsidR="00000000" w:rsidRPr="00000000">
        <w:rPr>
          <w:rFonts w:ascii="Google Sans" w:cs="Google Sans" w:eastAsia="Google Sans" w:hAnsi="Google Sans"/>
          <w:sz w:val="24"/>
          <w:szCs w:val="24"/>
          <w:rtl w:val="0"/>
        </w:rPr>
        <w:t xml:space="preserve"> document.</w:t>
      </w:r>
    </w:p>
    <w:p w:rsidR="00000000" w:rsidDel="00000000" w:rsidP="00000000" w:rsidRDefault="00000000" w:rsidRPr="00000000" w14:paraId="00000004">
      <w:pPr>
        <w:rPr>
          <w:rFonts w:ascii="Google Sans" w:cs="Google Sans" w:eastAsia="Google Sans" w:hAnsi="Google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Google Sans" w:cs="Google Sans" w:eastAsia="Google Sans" w:hAnsi="Google Sans"/>
          <w:i w:val="1"/>
          <w:iCs w:val="1"/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sz w:val="24"/>
          <w:szCs w:val="24"/>
          <w:rtl w:val="0"/>
        </w:rPr>
        <w:t xml:space="preserve">Then, select “yes” or “no” to answer the question: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sz w:val="24"/>
          <w:szCs w:val="24"/>
          <w:rtl w:val="0"/>
        </w:rPr>
        <w:t xml:space="preserve">Does Botium Toys currently have this control in place? </w:t>
      </w:r>
    </w:p>
    <w:p w:rsidR="00000000" w:rsidDel="00000000" w:rsidP="00000000" w:rsidRDefault="00000000" w:rsidRPr="00000000" w14:paraId="00000006">
      <w:pPr>
        <w:rPr>
          <w:rFonts w:ascii="Google Sans" w:cs="Google Sans" w:eastAsia="Google Sans" w:hAnsi="Google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Google Sans" w:cs="Google Sans" w:eastAsia="Google Sans" w:hAnsi="Google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Google Sans" w:cs="Google Sans" w:eastAsia="Google Sans" w:hAnsi="Google Sans"/>
          <w:sz w:val="26"/>
          <w:szCs w:val="26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sz w:val="24"/>
          <w:szCs w:val="24"/>
          <w:rtl w:val="0"/>
        </w:rPr>
        <w:t xml:space="preserve">Controls assessment checklist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Google Sans" w:cs="Google Sans" w:eastAsia="Google Sans" w:hAnsi="Google Sans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900"/>
        <w:gridCol w:w="945"/>
        <w:gridCol w:w="7515"/>
        <w:tblGridChange w:id="0">
          <w:tblGrid>
            <w:gridCol w:w="900"/>
            <w:gridCol w:w="945"/>
            <w:gridCol w:w="75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jc w:val="right"/>
              <w:rPr>
                <w:rFonts w:ascii="Google Sans" w:cs="Google Sans" w:eastAsia="Google Sans" w:hAnsi="Google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sz w:val="24"/>
                <w:szCs w:val="24"/>
                <w:rtl w:val="0"/>
              </w:rPr>
              <w:t xml:space="preserve">  Yes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center"/>
              <w:rPr>
                <w:rFonts w:ascii="Google Sans" w:cs="Google Sans" w:eastAsia="Google Sans" w:hAnsi="Google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sz w:val="24"/>
                <w:szCs w:val="24"/>
                <w:rtl w:val="0"/>
              </w:rPr>
              <w:t xml:space="preserve">    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rFonts w:ascii="Google Sans" w:cs="Google Sans" w:eastAsia="Google Sans" w:hAnsi="Google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sz w:val="24"/>
                <w:szCs w:val="24"/>
                <w:rtl w:val="0"/>
              </w:rPr>
              <w:t xml:space="preserve">Control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jc w:val="both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jc w:val="both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sz w:val="24"/>
                <w:szCs w:val="24"/>
                <w:rtl w:val="0"/>
              </w:rPr>
              <w:t xml:space="preserve">Least Privilege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numPr>
                <w:ilvl w:val="0"/>
                <w:numId w:val="20"/>
              </w:numPr>
              <w:spacing w:line="240" w:lineRule="auto"/>
              <w:ind w:left="720" w:hanging="360"/>
              <w:jc w:val="both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numPr>
                <w:ilvl w:val="0"/>
                <w:numId w:val="13"/>
              </w:numPr>
              <w:spacing w:line="240" w:lineRule="auto"/>
              <w:ind w:left="720" w:hanging="360"/>
              <w:jc w:val="both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sz w:val="24"/>
                <w:szCs w:val="24"/>
                <w:rtl w:val="0"/>
              </w:rPr>
              <w:t xml:space="preserve">Disaster recovery plans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numPr>
                <w:ilvl w:val="0"/>
                <w:numId w:val="16"/>
              </w:numPr>
              <w:spacing w:line="240" w:lineRule="auto"/>
              <w:ind w:left="720" w:hanging="360"/>
              <w:jc w:val="both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jc w:val="both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sz w:val="24"/>
                <w:szCs w:val="24"/>
                <w:rtl w:val="0"/>
              </w:rPr>
              <w:t xml:space="preserve">Password policies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numPr>
                <w:ilvl w:val="0"/>
                <w:numId w:val="14"/>
              </w:numPr>
              <w:spacing w:line="240" w:lineRule="auto"/>
              <w:ind w:left="720" w:hanging="360"/>
              <w:jc w:val="both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numPr>
                <w:ilvl w:val="0"/>
                <w:numId w:val="12"/>
              </w:numPr>
              <w:spacing w:line="240" w:lineRule="auto"/>
              <w:ind w:left="720" w:hanging="360"/>
              <w:jc w:val="both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sz w:val="24"/>
                <w:szCs w:val="24"/>
                <w:rtl w:val="0"/>
              </w:rPr>
              <w:t xml:space="preserve">Separation of duties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numPr>
                <w:ilvl w:val="0"/>
                <w:numId w:val="6"/>
              </w:numPr>
              <w:spacing w:line="240" w:lineRule="auto"/>
              <w:ind w:left="720" w:hanging="360"/>
              <w:jc w:val="both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numPr>
                <w:ilvl w:val="0"/>
                <w:numId w:val="11"/>
              </w:numPr>
              <w:spacing w:line="240" w:lineRule="auto"/>
              <w:ind w:left="720" w:hanging="360"/>
              <w:jc w:val="both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sz w:val="24"/>
                <w:szCs w:val="24"/>
                <w:rtl w:val="0"/>
              </w:rPr>
              <w:t xml:space="preserve">Firewall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numPr>
                <w:ilvl w:val="0"/>
                <w:numId w:val="17"/>
              </w:numPr>
              <w:spacing w:line="240" w:lineRule="auto"/>
              <w:ind w:left="720" w:hanging="360"/>
              <w:jc w:val="both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numPr>
                <w:ilvl w:val="0"/>
                <w:numId w:val="18"/>
              </w:numPr>
              <w:spacing w:line="240" w:lineRule="auto"/>
              <w:ind w:left="720" w:hanging="360"/>
              <w:jc w:val="both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sz w:val="24"/>
                <w:szCs w:val="24"/>
                <w:rtl w:val="0"/>
              </w:rPr>
              <w:t xml:space="preserve">Intrusion detection system (IDS)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jc w:val="both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numPr>
                <w:ilvl w:val="0"/>
                <w:numId w:val="19"/>
              </w:numPr>
              <w:spacing w:line="240" w:lineRule="auto"/>
              <w:ind w:left="720" w:hanging="360"/>
              <w:jc w:val="both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sz w:val="24"/>
                <w:szCs w:val="24"/>
                <w:rtl w:val="0"/>
              </w:rPr>
              <w:t xml:space="preserve">Backups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numPr>
                <w:ilvl w:val="0"/>
                <w:numId w:val="15"/>
              </w:numPr>
              <w:spacing w:line="240" w:lineRule="auto"/>
              <w:ind w:left="720" w:hanging="360"/>
              <w:jc w:val="both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jc w:val="both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sz w:val="24"/>
                <w:szCs w:val="24"/>
                <w:rtl w:val="0"/>
              </w:rPr>
              <w:t xml:space="preserve">Antivirus software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jc w:val="both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jc w:val="both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sz w:val="24"/>
                <w:szCs w:val="24"/>
                <w:rtl w:val="0"/>
              </w:rPr>
              <w:t xml:space="preserve">Manual monitoring, maintenance, and intervention for legacy systems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jc w:val="both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jc w:val="both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sz w:val="24"/>
                <w:szCs w:val="24"/>
                <w:rtl w:val="0"/>
              </w:rPr>
              <w:t xml:space="preserve">Encryption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numPr>
                <w:ilvl w:val="0"/>
                <w:numId w:val="20"/>
              </w:numPr>
              <w:spacing w:line="240" w:lineRule="auto"/>
              <w:ind w:left="720" w:hanging="360"/>
              <w:jc w:val="both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numPr>
                <w:ilvl w:val="0"/>
                <w:numId w:val="13"/>
              </w:numPr>
              <w:spacing w:line="240" w:lineRule="auto"/>
              <w:ind w:left="720" w:hanging="360"/>
              <w:jc w:val="both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sz w:val="24"/>
                <w:szCs w:val="24"/>
                <w:rtl w:val="0"/>
              </w:rPr>
              <w:t xml:space="preserve">Password management system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numPr>
                <w:ilvl w:val="0"/>
                <w:numId w:val="20"/>
              </w:numPr>
              <w:spacing w:line="240" w:lineRule="auto"/>
              <w:ind w:left="720" w:hanging="360"/>
              <w:jc w:val="both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numPr>
                <w:ilvl w:val="0"/>
                <w:numId w:val="13"/>
              </w:numPr>
              <w:spacing w:line="240" w:lineRule="auto"/>
              <w:ind w:left="720" w:hanging="360"/>
              <w:jc w:val="both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sz w:val="24"/>
                <w:szCs w:val="24"/>
                <w:rtl w:val="0"/>
              </w:rPr>
              <w:t xml:space="preserve">Locks (offices, storefront, warehouse)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numPr>
                <w:ilvl w:val="0"/>
                <w:numId w:val="16"/>
              </w:numPr>
              <w:spacing w:line="240" w:lineRule="auto"/>
              <w:ind w:left="720" w:hanging="360"/>
              <w:jc w:val="both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jc w:val="both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sz w:val="24"/>
                <w:szCs w:val="24"/>
                <w:rtl w:val="0"/>
              </w:rPr>
              <w:t xml:space="preserve">Closed-circuit television (CCTV) surveillance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jc w:val="both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numPr>
                <w:ilvl w:val="0"/>
                <w:numId w:val="7"/>
              </w:numPr>
              <w:spacing w:line="240" w:lineRule="auto"/>
              <w:ind w:left="720" w:hanging="360"/>
              <w:jc w:val="both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sz w:val="24"/>
                <w:szCs w:val="24"/>
                <w:rtl w:val="0"/>
              </w:rPr>
              <w:t xml:space="preserve">Fire detection/prevention (fire alarm, sprinkler system, etc.)</w:t>
            </w:r>
          </w:p>
        </w:tc>
      </w:tr>
    </w:tbl>
    <w:p w:rsidR="00000000" w:rsidDel="00000000" w:rsidP="00000000" w:rsidRDefault="00000000" w:rsidRPr="00000000" w14:paraId="00000037">
      <w:pPr>
        <w:rPr>
          <w:rFonts w:ascii="Google Sans" w:cs="Google Sans" w:eastAsia="Google Sans" w:hAnsi="Google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Google Sans" w:cs="Google Sans" w:eastAsia="Google Sans" w:hAnsi="Google Sans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rFonts w:ascii="Google Sans" w:cs="Google Sans" w:eastAsia="Google Sans" w:hAnsi="Google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Google Sans" w:cs="Google Sans" w:eastAsia="Google Sans" w:hAnsi="Google Sans"/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sz w:val="24"/>
          <w:szCs w:val="24"/>
          <w:rtl w:val="0"/>
        </w:rPr>
        <w:t xml:space="preserve">To complete the compliance checklist, refer to the information provided in the </w:t>
      </w:r>
      <w:hyperlink r:id="rId8">
        <w:r w:rsidDel="00000000" w:rsidR="00000000" w:rsidRPr="00000000">
          <w:rPr>
            <w:rFonts w:ascii="Google Sans" w:cs="Google Sans" w:eastAsia="Google Sans" w:hAnsi="Google Sans"/>
            <w:color w:val="1155cc"/>
            <w:sz w:val="24"/>
            <w:szCs w:val="24"/>
            <w:u w:val="single"/>
            <w:rtl w:val="0"/>
          </w:rPr>
          <w:t xml:space="preserve">scope, goals, and risk assessment report</w:t>
        </w:r>
      </w:hyperlink>
      <w:r w:rsidDel="00000000" w:rsidR="00000000" w:rsidRPr="00000000">
        <w:rPr>
          <w:rFonts w:ascii="Google Sans" w:cs="Google Sans" w:eastAsia="Google Sans" w:hAnsi="Google Sans"/>
          <w:sz w:val="24"/>
          <w:szCs w:val="24"/>
          <w:rtl w:val="0"/>
        </w:rPr>
        <w:t xml:space="preserve">. For more details about each compliance regulation, review the </w:t>
      </w:r>
      <w:hyperlink r:id="rId9">
        <w:r w:rsidDel="00000000" w:rsidR="00000000" w:rsidRPr="00000000">
          <w:rPr>
            <w:rFonts w:ascii="Google Sans" w:cs="Google Sans" w:eastAsia="Google Sans" w:hAnsi="Google Sans"/>
            <w:color w:val="1155cc"/>
            <w:sz w:val="24"/>
            <w:szCs w:val="24"/>
            <w:u w:val="single"/>
            <w:rtl w:val="0"/>
          </w:rPr>
          <w:t xml:space="preserve">controls, frameworks, and compliance</w:t>
        </w:r>
      </w:hyperlink>
      <w:r w:rsidDel="00000000" w:rsidR="00000000" w:rsidRPr="00000000">
        <w:rPr>
          <w:rFonts w:ascii="Google Sans" w:cs="Google Sans" w:eastAsia="Google Sans" w:hAnsi="Google Sans"/>
          <w:sz w:val="24"/>
          <w:szCs w:val="24"/>
          <w:rtl w:val="0"/>
        </w:rPr>
        <w:t xml:space="preserve"> reading.</w:t>
      </w:r>
    </w:p>
    <w:p w:rsidR="00000000" w:rsidDel="00000000" w:rsidP="00000000" w:rsidRDefault="00000000" w:rsidRPr="00000000" w14:paraId="0000003B">
      <w:pPr>
        <w:rPr>
          <w:rFonts w:ascii="Google Sans" w:cs="Google Sans" w:eastAsia="Google Sans" w:hAnsi="Google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Google Sans" w:cs="Google Sans" w:eastAsia="Google Sans" w:hAnsi="Google Sans"/>
          <w:i w:val="1"/>
          <w:iCs w:val="1"/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sz w:val="24"/>
          <w:szCs w:val="24"/>
          <w:rtl w:val="0"/>
        </w:rPr>
        <w:t xml:space="preserve">Then, select “yes” or “no” to answer the question: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sz w:val="24"/>
          <w:szCs w:val="24"/>
          <w:rtl w:val="0"/>
        </w:rPr>
        <w:t xml:space="preserve">Does Botium Toys currently adhere to this compliance best practice?</w:t>
      </w:r>
    </w:p>
    <w:p w:rsidR="00000000" w:rsidDel="00000000" w:rsidP="00000000" w:rsidRDefault="00000000" w:rsidRPr="00000000" w14:paraId="0000003D">
      <w:pPr>
        <w:rPr>
          <w:rFonts w:ascii="Google Sans" w:cs="Google Sans" w:eastAsia="Google Sans" w:hAnsi="Google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rFonts w:ascii="Google Sans" w:cs="Google Sans" w:eastAsia="Google Sans" w:hAnsi="Google Sans"/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sz w:val="24"/>
          <w:szCs w:val="24"/>
          <w:rtl w:val="0"/>
        </w:rPr>
        <w:t xml:space="preserve">Compliance checklist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Google Sans" w:cs="Google Sans" w:eastAsia="Google Sans" w:hAnsi="Google Sans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200" w:line="360" w:lineRule="auto"/>
        <w:rPr>
          <w:rFonts w:ascii="Google Sans" w:cs="Google Sans" w:eastAsia="Google Sans" w:hAnsi="Google Sans"/>
          <w:sz w:val="24"/>
          <w:szCs w:val="24"/>
          <w:u w:val="single"/>
        </w:rPr>
      </w:pPr>
      <w:r w:rsidDel="00000000" w:rsidR="00000000" w:rsidRPr="00000000">
        <w:rPr>
          <w:rFonts w:ascii="Google Sans" w:cs="Google Sans" w:eastAsia="Google Sans" w:hAnsi="Google Sans"/>
          <w:sz w:val="24"/>
          <w:szCs w:val="24"/>
          <w:u w:val="single"/>
          <w:rtl w:val="0"/>
        </w:rPr>
        <w:t xml:space="preserve">Payment Card Industry Data Security Standard (PCI DSS)</w:t>
      </w:r>
    </w:p>
    <w:tbl>
      <w:tblPr>
        <w:tblStyle w:val="Table2"/>
        <w:tblW w:w="936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930"/>
        <w:gridCol w:w="915"/>
        <w:gridCol w:w="7515"/>
        <w:tblGridChange w:id="0">
          <w:tblGrid>
            <w:gridCol w:w="930"/>
            <w:gridCol w:w="915"/>
            <w:gridCol w:w="75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jc w:val="right"/>
              <w:rPr>
                <w:rFonts w:ascii="Google Sans" w:cs="Google Sans" w:eastAsia="Google Sans" w:hAnsi="Google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sz w:val="24"/>
                <w:szCs w:val="24"/>
                <w:rtl w:val="0"/>
              </w:rPr>
              <w:t xml:space="preserve">Yes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jc w:val="center"/>
              <w:rPr>
                <w:rFonts w:ascii="Google Sans" w:cs="Google Sans" w:eastAsia="Google Sans" w:hAnsi="Google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sz w:val="24"/>
                <w:szCs w:val="24"/>
                <w:rtl w:val="0"/>
              </w:rPr>
              <w:t xml:space="preserve">    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rFonts w:ascii="Google Sans" w:cs="Google Sans" w:eastAsia="Google Sans" w:hAnsi="Google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sz w:val="24"/>
                <w:szCs w:val="24"/>
                <w:rtl w:val="0"/>
              </w:rPr>
              <w:t xml:space="preserve">Best practice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jc w:val="both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jc w:val="both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sz w:val="24"/>
                <w:szCs w:val="24"/>
                <w:rtl w:val="0"/>
              </w:rPr>
              <w:t xml:space="preserve">Only authorized users have access to customers’ credit card information.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numPr>
                <w:ilvl w:val="0"/>
                <w:numId w:val="20"/>
              </w:numPr>
              <w:spacing w:line="240" w:lineRule="auto"/>
              <w:ind w:left="720" w:hanging="360"/>
              <w:jc w:val="both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numPr>
                <w:ilvl w:val="0"/>
                <w:numId w:val="13"/>
              </w:numPr>
              <w:spacing w:line="240" w:lineRule="auto"/>
              <w:ind w:left="720" w:hanging="360"/>
              <w:jc w:val="both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sz w:val="24"/>
                <w:szCs w:val="24"/>
                <w:rtl w:val="0"/>
              </w:rPr>
              <w:t xml:space="preserve">Credit card information is stored, accepted, processed, and transmitted internally, in a secure environment.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numPr>
                <w:ilvl w:val="0"/>
                <w:numId w:val="16"/>
              </w:numPr>
              <w:spacing w:line="240" w:lineRule="auto"/>
              <w:ind w:left="720" w:hanging="360"/>
              <w:jc w:val="both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jc w:val="both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rFonts w:ascii="Google Sans" w:cs="Google Sans" w:eastAsia="Google Sans" w:hAnsi="Google Sans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sz w:val="24"/>
                <w:szCs w:val="24"/>
                <w:rtl w:val="0"/>
              </w:rPr>
              <w:t xml:space="preserve">Implement data encryption procedures to better secure credit card transaction touchpoints and data.</w:t>
            </w:r>
            <w:r w:rsidDel="00000000" w:rsidR="00000000" w:rsidRPr="00000000">
              <w:rPr>
                <w:rFonts w:ascii="Google Sans" w:cs="Google Sans" w:eastAsia="Google Sans" w:hAnsi="Google Sans"/>
                <w:sz w:val="24"/>
                <w:szCs w:val="24"/>
                <w:highlight w:val="yellow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numPr>
                <w:ilvl w:val="0"/>
                <w:numId w:val="14"/>
              </w:numPr>
              <w:spacing w:line="240" w:lineRule="auto"/>
              <w:ind w:left="720" w:hanging="360"/>
              <w:jc w:val="both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numPr>
                <w:ilvl w:val="0"/>
                <w:numId w:val="12"/>
              </w:numPr>
              <w:spacing w:line="240" w:lineRule="auto"/>
              <w:ind w:left="720" w:hanging="360"/>
              <w:jc w:val="both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sz w:val="24"/>
                <w:szCs w:val="24"/>
                <w:rtl w:val="0"/>
              </w:rPr>
              <w:t xml:space="preserve">Adopt secure password management policies.</w:t>
            </w:r>
          </w:p>
        </w:tc>
      </w:tr>
    </w:tbl>
    <w:p w:rsidR="00000000" w:rsidDel="00000000" w:rsidP="00000000" w:rsidRDefault="00000000" w:rsidRPr="00000000" w14:paraId="00000050">
      <w:pPr>
        <w:rPr>
          <w:rFonts w:ascii="Google Sans" w:cs="Google Sans" w:eastAsia="Google Sans" w:hAnsi="Google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rFonts w:ascii="Google Sans" w:cs="Google Sans" w:eastAsia="Google Sans" w:hAnsi="Google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200" w:line="360" w:lineRule="auto"/>
        <w:rPr>
          <w:rFonts w:ascii="Google Sans" w:cs="Google Sans" w:eastAsia="Google Sans" w:hAnsi="Google Sans"/>
          <w:sz w:val="24"/>
          <w:szCs w:val="24"/>
          <w:u w:val="single"/>
        </w:rPr>
      </w:pPr>
      <w:r w:rsidDel="00000000" w:rsidR="00000000" w:rsidRPr="00000000">
        <w:rPr>
          <w:rFonts w:ascii="Google Sans" w:cs="Google Sans" w:eastAsia="Google Sans" w:hAnsi="Google Sans"/>
          <w:sz w:val="24"/>
          <w:szCs w:val="24"/>
          <w:u w:val="single"/>
          <w:rtl w:val="0"/>
        </w:rPr>
        <w:t xml:space="preserve">General Data Protection Regulation (GDPR)</w:t>
      </w:r>
    </w:p>
    <w:tbl>
      <w:tblPr>
        <w:tblStyle w:val="Table3"/>
        <w:tblW w:w="936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900"/>
        <w:gridCol w:w="945"/>
        <w:gridCol w:w="7515"/>
        <w:tblGridChange w:id="0">
          <w:tblGrid>
            <w:gridCol w:w="900"/>
            <w:gridCol w:w="945"/>
            <w:gridCol w:w="75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jc w:val="right"/>
              <w:rPr>
                <w:rFonts w:ascii="Google Sans" w:cs="Google Sans" w:eastAsia="Google Sans" w:hAnsi="Google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sz w:val="24"/>
                <w:szCs w:val="24"/>
                <w:rtl w:val="0"/>
              </w:rPr>
              <w:t xml:space="preserve">Yes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jc w:val="center"/>
              <w:rPr>
                <w:rFonts w:ascii="Google Sans" w:cs="Google Sans" w:eastAsia="Google Sans" w:hAnsi="Google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sz w:val="24"/>
                <w:szCs w:val="24"/>
                <w:rtl w:val="0"/>
              </w:rPr>
              <w:t xml:space="preserve">    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rFonts w:ascii="Google Sans" w:cs="Google Sans" w:eastAsia="Google Sans" w:hAnsi="Google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sz w:val="24"/>
                <w:szCs w:val="24"/>
                <w:rtl w:val="0"/>
              </w:rPr>
              <w:t xml:space="preserve">Best practice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jc w:val="both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jc w:val="both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sz w:val="24"/>
                <w:szCs w:val="24"/>
                <w:rtl w:val="0"/>
              </w:rPr>
              <w:t xml:space="preserve">E.U. customers’ data is kept private/secured.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numPr>
                <w:ilvl w:val="0"/>
                <w:numId w:val="20"/>
              </w:numPr>
              <w:spacing w:line="240" w:lineRule="auto"/>
              <w:ind w:left="720" w:hanging="360"/>
              <w:jc w:val="both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numPr>
                <w:ilvl w:val="0"/>
                <w:numId w:val="13"/>
              </w:numPr>
              <w:spacing w:line="240" w:lineRule="auto"/>
              <w:ind w:left="720" w:hanging="360"/>
              <w:jc w:val="both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sz w:val="24"/>
                <w:szCs w:val="24"/>
                <w:rtl w:val="0"/>
              </w:rPr>
              <w:t xml:space="preserve">There is a plan in place to notify E.U. customers within 72 hours if their data is compromised/there is a breach.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numPr>
                <w:ilvl w:val="0"/>
                <w:numId w:val="16"/>
              </w:numPr>
              <w:spacing w:line="240" w:lineRule="auto"/>
              <w:ind w:left="720" w:hanging="360"/>
              <w:jc w:val="both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jc w:val="both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sz w:val="24"/>
                <w:szCs w:val="24"/>
                <w:rtl w:val="0"/>
              </w:rPr>
              <w:t xml:space="preserve">Ensure data is properly classified and inventoried.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numPr>
                <w:ilvl w:val="0"/>
                <w:numId w:val="14"/>
              </w:numPr>
              <w:spacing w:line="240" w:lineRule="auto"/>
              <w:ind w:left="720" w:hanging="360"/>
              <w:jc w:val="both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numPr>
                <w:ilvl w:val="0"/>
                <w:numId w:val="12"/>
              </w:numPr>
              <w:spacing w:line="240" w:lineRule="auto"/>
              <w:ind w:left="720" w:hanging="360"/>
              <w:jc w:val="both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sz w:val="24"/>
                <w:szCs w:val="24"/>
                <w:rtl w:val="0"/>
              </w:rPr>
              <w:t xml:space="preserve">Enforce privacy policies, procedures, and processes to properly document and maintain data.</w:t>
            </w:r>
          </w:p>
        </w:tc>
      </w:tr>
    </w:tbl>
    <w:p w:rsidR="00000000" w:rsidDel="00000000" w:rsidP="00000000" w:rsidRDefault="00000000" w:rsidRPr="00000000" w14:paraId="00000062">
      <w:pPr>
        <w:rPr>
          <w:rFonts w:ascii="Google Sans" w:cs="Google Sans" w:eastAsia="Google Sans" w:hAnsi="Google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rFonts w:ascii="Google Sans" w:cs="Google Sans" w:eastAsia="Google Sans" w:hAnsi="Google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200" w:line="360" w:lineRule="auto"/>
        <w:rPr>
          <w:rFonts w:ascii="Google Sans" w:cs="Google Sans" w:eastAsia="Google Sans" w:hAnsi="Google Sans"/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sz w:val="24"/>
          <w:szCs w:val="24"/>
          <w:u w:val="single"/>
          <w:rtl w:val="0"/>
        </w:rPr>
        <w:t xml:space="preserve">System and Organizations Controls (SOC type 1, SOC type 2)</w:t>
      </w:r>
      <w:r w:rsidDel="00000000" w:rsidR="00000000" w:rsidRPr="00000000">
        <w:rPr>
          <w:rFonts w:ascii="Google Sans" w:cs="Google Sans" w:eastAsia="Google Sans" w:hAnsi="Google Sans"/>
          <w:sz w:val="24"/>
          <w:szCs w:val="24"/>
          <w:rtl w:val="0"/>
        </w:rPr>
        <w:t xml:space="preserve"> </w:t>
      </w:r>
    </w:p>
    <w:tbl>
      <w:tblPr>
        <w:tblStyle w:val="Table4"/>
        <w:tblW w:w="936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930"/>
        <w:gridCol w:w="915"/>
        <w:gridCol w:w="7515"/>
        <w:tblGridChange w:id="0">
          <w:tblGrid>
            <w:gridCol w:w="930"/>
            <w:gridCol w:w="915"/>
            <w:gridCol w:w="75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jc w:val="right"/>
              <w:rPr>
                <w:rFonts w:ascii="Google Sans" w:cs="Google Sans" w:eastAsia="Google Sans" w:hAnsi="Google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sz w:val="24"/>
                <w:szCs w:val="24"/>
                <w:rtl w:val="0"/>
              </w:rPr>
              <w:t xml:space="preserve">Yes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jc w:val="center"/>
              <w:rPr>
                <w:rFonts w:ascii="Google Sans" w:cs="Google Sans" w:eastAsia="Google Sans" w:hAnsi="Google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sz w:val="24"/>
                <w:szCs w:val="24"/>
                <w:rtl w:val="0"/>
              </w:rPr>
              <w:t xml:space="preserve">    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>
                <w:rFonts w:ascii="Google Sans" w:cs="Google Sans" w:eastAsia="Google Sans" w:hAnsi="Google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sz w:val="24"/>
                <w:szCs w:val="24"/>
                <w:rtl w:val="0"/>
              </w:rPr>
              <w:t xml:space="preserve">Best practice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jc w:val="both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jc w:val="both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sz w:val="24"/>
                <w:szCs w:val="24"/>
                <w:rtl w:val="0"/>
              </w:rPr>
              <w:t xml:space="preserve">User access policies are established.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numPr>
                <w:ilvl w:val="0"/>
                <w:numId w:val="20"/>
              </w:numPr>
              <w:spacing w:line="240" w:lineRule="auto"/>
              <w:ind w:left="720" w:hanging="360"/>
              <w:jc w:val="both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numPr>
                <w:ilvl w:val="0"/>
                <w:numId w:val="13"/>
              </w:numPr>
              <w:spacing w:line="240" w:lineRule="auto"/>
              <w:ind w:left="720" w:hanging="360"/>
              <w:jc w:val="both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sz w:val="24"/>
                <w:szCs w:val="24"/>
                <w:rtl w:val="0"/>
              </w:rPr>
              <w:t xml:space="preserve">Sensitive data (PII/SPII) is confidential/private.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numPr>
                <w:ilvl w:val="0"/>
                <w:numId w:val="16"/>
              </w:numPr>
              <w:spacing w:line="240" w:lineRule="auto"/>
              <w:ind w:left="720" w:hanging="360"/>
              <w:jc w:val="both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jc w:val="both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sz w:val="24"/>
                <w:szCs w:val="24"/>
                <w:rtl w:val="0"/>
              </w:rPr>
              <w:t xml:space="preserve">Data integrity ensures the data is consistent, complete, accurate, and has been validated.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numPr>
                <w:ilvl w:val="0"/>
                <w:numId w:val="14"/>
              </w:numPr>
              <w:spacing w:line="240" w:lineRule="auto"/>
              <w:ind w:left="720" w:hanging="360"/>
              <w:jc w:val="both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numPr>
                <w:ilvl w:val="0"/>
                <w:numId w:val="12"/>
              </w:numPr>
              <w:spacing w:line="240" w:lineRule="auto"/>
              <w:ind w:left="720" w:hanging="360"/>
              <w:jc w:val="both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rFonts w:ascii="Google Sans" w:cs="Google Sans" w:eastAsia="Google Sans" w:hAnsi="Google Sans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sz w:val="24"/>
                <w:szCs w:val="24"/>
                <w:rtl w:val="0"/>
              </w:rPr>
              <w:t xml:space="preserve">Data is available to individuals authorized to access it.</w:t>
            </w:r>
          </w:p>
        </w:tc>
      </w:tr>
    </w:tbl>
    <w:p w:rsidR="00000000" w:rsidDel="00000000" w:rsidP="00000000" w:rsidRDefault="00000000" w:rsidRPr="00000000" w14:paraId="00000074">
      <w:pPr>
        <w:spacing w:after="200" w:line="360" w:lineRule="auto"/>
        <w:rPr>
          <w:rFonts w:ascii="Google Sans" w:cs="Google Sans" w:eastAsia="Google Sans" w:hAnsi="Google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200" w:line="360" w:lineRule="auto"/>
        <w:rPr>
          <w:rFonts w:ascii="Google Sans" w:cs="Google Sans" w:eastAsia="Google Sans" w:hAnsi="Google Sans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200" w:line="360" w:lineRule="auto"/>
        <w:rPr>
          <w:rFonts w:ascii="Google Sans" w:cs="Google Sans" w:eastAsia="Google Sans" w:hAnsi="Google Sans"/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sz w:val="24"/>
          <w:szCs w:val="24"/>
          <w:rtl w:val="0"/>
        </w:rPr>
        <w:t xml:space="preserve">This section is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sz w:val="24"/>
          <w:szCs w:val="24"/>
          <w:rtl w:val="0"/>
        </w:rPr>
        <w:t xml:space="preserve">optional</w:t>
      </w:r>
      <w:r w:rsidDel="00000000" w:rsidR="00000000" w:rsidRPr="00000000">
        <w:rPr>
          <w:rFonts w:ascii="Google Sans" w:cs="Google Sans" w:eastAsia="Google Sans" w:hAnsi="Google Sans"/>
          <w:sz w:val="24"/>
          <w:szCs w:val="24"/>
          <w:rtl w:val="0"/>
        </w:rPr>
        <w:t xml:space="preserve"> and can be used to provide a summary of recommendations to the IT manager regarding which controls and/or compliance best practices Botium Toys needs to implement, based on the risk posed if not implemented in a timely manner.</w:t>
      </w:r>
    </w:p>
    <w:p w:rsidR="00000000" w:rsidDel="00000000" w:rsidP="00000000" w:rsidRDefault="00000000" w:rsidRPr="00000000" w14:paraId="00000077">
      <w:pPr>
        <w:spacing w:after="200" w:line="360" w:lineRule="auto"/>
        <w:rPr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sz w:val="24"/>
          <w:szCs w:val="24"/>
          <w:rtl w:val="0"/>
        </w:rPr>
        <w:t xml:space="preserve">Recommendations (optional): </w:t>
      </w:r>
      <w:r w:rsidDel="00000000" w:rsidR="00000000" w:rsidRPr="00000000">
        <w:rPr>
          <w:rFonts w:ascii="Google Sans" w:cs="Google Sans" w:eastAsia="Google Sans" w:hAnsi="Google Sans"/>
          <w:sz w:val="24"/>
          <w:szCs w:val="24"/>
          <w:rtl w:val="0"/>
        </w:rPr>
        <w:t xml:space="preserve">In this section, provide recommendations, related to controls and/or compliance needs, that your IT manager could communicate to stakeholders to reduce risks to assets and improve Botium Toys’ security posture.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oogle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3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4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coursera.org/learn/foundations-of-cybersecurity/supplement/xu4pr/controls-frameworks-and-compliance" TargetMode="External"/><Relationship Id="rId5" Type="http://schemas.openxmlformats.org/officeDocument/2006/relationships/styles" Target="styles.xml"/><Relationship Id="rId6" Type="http://schemas.openxmlformats.org/officeDocument/2006/relationships/hyperlink" Target="https://docs.google.com/document/d/1s2u_RuhRAI40JSh-eZHvaFsV1ZMxcNSWXifHDTOsgFc/template/preview#heading=h.evidx83t54sc" TargetMode="External"/><Relationship Id="rId7" Type="http://schemas.openxmlformats.org/officeDocument/2006/relationships/hyperlink" Target="https://docs.google.com/document/d/1btezuy_bMKWoK8pd97ZuzdWB9y6au_zfkrpkfVf8ktI/template/preview" TargetMode="External"/><Relationship Id="rId8" Type="http://schemas.openxmlformats.org/officeDocument/2006/relationships/hyperlink" Target="https://docs.google.com/document/d/1s2u_RuhRAI40JSh-eZHvaFsV1ZMxcNSWXifHDTOsgFc/template/preview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oogleSans-regular.ttf"/><Relationship Id="rId2" Type="http://schemas.openxmlformats.org/officeDocument/2006/relationships/font" Target="fonts/GoogleSans-bold.ttf"/><Relationship Id="rId3" Type="http://schemas.openxmlformats.org/officeDocument/2006/relationships/font" Target="fonts/GoogleSans-italic.ttf"/><Relationship Id="rId4" Type="http://schemas.openxmlformats.org/officeDocument/2006/relationships/font" Target="fonts/Google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