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GoogleSans-bold.ttf" ContentType="application/x-font-ttf"/>
  <Override PartName="/word/fonts/GoogleSans-boldItalic.ttf" ContentType="application/x-font-ttf"/>
  <Override PartName="/word/fonts/GoogleSans-italic.ttf" ContentType="application/x-font-ttf"/>
  <Override PartName="/word/fonts/GoogleSans-regular.ttf" ContentType="application/x-font-ttf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00" w:before="200" w:line="360" w:lineRule="auto"/>
        <w:ind w:left="-360" w:right="-360" w:firstLine="0"/>
        <w:rPr>
          <w:rFonts w:ascii="Google Sans" w:cs="Google Sans" w:eastAsia="Google Sans" w:hAnsi="Google Sans"/>
          <w:b w:val="1"/>
          <w:bCs w:val="1"/>
          <w:color w:val="3c4043"/>
          <w:sz w:val="40"/>
          <w:szCs w:val="40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3c4043"/>
          <w:sz w:val="40"/>
          <w:szCs w:val="40"/>
          <w:rtl w:val="0"/>
        </w:rPr>
        <w:t xml:space="preserve">Incident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3c4043"/>
          <w:sz w:val="40"/>
          <w:szCs w:val="40"/>
          <w:rtl w:val="0"/>
        </w:rPr>
        <w:t xml:space="preserve"> report analysis</w:t>
      </w:r>
    </w:p>
    <w:p w:rsidR="00000000" w:rsidDel="00000000" w:rsidP="00000000" w:rsidRDefault="00000000" w:rsidRPr="00000000" w14:paraId="00000002">
      <w:pPr>
        <w:spacing w:after="200" w:line="360" w:lineRule="auto"/>
        <w:ind w:left="-360" w:right="-360" w:firstLine="0"/>
        <w:rPr>
          <w:rFonts w:ascii="Google Sans" w:cs="Google Sans" w:eastAsia="Google Sans" w:hAnsi="Google Sans"/>
          <w:sz w:val="24"/>
          <w:szCs w:val="24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34a853"/>
          <w:sz w:val="24"/>
          <w:szCs w:val="24"/>
          <w:rtl w:val="0"/>
        </w:rPr>
        <w:t xml:space="preserve">Instructions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00" w:line="360" w:lineRule="auto"/>
        <w:ind w:left="-360" w:right="-360" w:firstLine="0"/>
        <w:rPr>
          <w:rFonts w:ascii="Google Sans" w:cs="Google Sans" w:eastAsia="Google Sans" w:hAnsi="Google Sans"/>
          <w:sz w:val="24"/>
          <w:szCs w:val="24"/>
        </w:rPr>
      </w:pPr>
      <w:r w:rsidDel="00000000" w:rsidR="00000000" w:rsidRPr="00000000">
        <w:rPr>
          <w:rFonts w:ascii="Google Sans" w:cs="Google Sans" w:eastAsia="Google Sans" w:hAnsi="Google Sans"/>
          <w:sz w:val="24"/>
          <w:szCs w:val="24"/>
          <w:rtl w:val="0"/>
        </w:rPr>
        <w:t xml:space="preserve">As you continue through this course, you may use this template to record your findings after completing an activity or to take notes on what you've learned about a specific tool or concept. </w:t>
      </w:r>
      <w:r w:rsidDel="00000000" w:rsidR="00000000" w:rsidRPr="00000000">
        <w:rPr>
          <w:rFonts w:ascii="Google Sans" w:cs="Google Sans" w:eastAsia="Google Sans" w:hAnsi="Google Sans"/>
          <w:sz w:val="24"/>
          <w:szCs w:val="24"/>
          <w:rtl w:val="0"/>
        </w:rPr>
        <w:t xml:space="preserve">You can also use this chart as a way to practice applying the NIST framework to different situations you encounter.</w:t>
      </w:r>
      <w:r w:rsidDel="00000000" w:rsidR="00000000" w:rsidRPr="00000000">
        <w:rPr>
          <w:rtl w:val="0"/>
        </w:rPr>
      </w:r>
    </w:p>
    <w:tbl>
      <w:tblPr>
        <w:tblStyle w:val="Table1"/>
        <w:tblW w:w="10080.0" w:type="dxa"/>
        <w:jc w:val="left"/>
        <w:tblInd w:w="-36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055"/>
        <w:gridCol w:w="2055"/>
        <w:gridCol w:w="2985"/>
        <w:gridCol w:w="2985"/>
        <w:tblGridChange w:id="0">
          <w:tblGrid>
            <w:gridCol w:w="2055"/>
            <w:gridCol w:w="2055"/>
            <w:gridCol w:w="2985"/>
            <w:gridCol w:w="2985"/>
          </w:tblGrid>
        </w:tblGridChange>
      </w:tblGrid>
      <w:tr>
        <w:trPr>
          <w:cantSplit w:val="0"/>
          <w:trHeight w:val="420" w:hRule="atLeast"/>
          <w:tblHeader w:val="0"/>
          <w:cantSplit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widowControl w:val="0"/>
              <w:spacing w:line="360" w:lineRule="auto"/>
              <w:rPr>
                <w:rFonts w:ascii="Google Sans" w:cs="Google Sans" w:eastAsia="Google Sans" w:hAnsi="Google Sans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rtl w:val="0"/>
              </w:rPr>
              <w:t xml:space="preserve">Summary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>
            <w:pPr>
              <w:spacing w:before="0" w:after="0" w:line="240" w:lineRule="auto"/>
            </w:pPr>
            <w:r/>
            <w:r>
              <w:rPr>
                <w:rFonts w:ascii="Google Sans" w:hAnsi="Google Sans"/>
                <w:sz w:val="18"/>
              </w:rPr>
              <w:t>The company experienced a two-hour DoS attack in which a malicious actor flooded the internal network with ICMP ping packets through an unconfigured firewall. The flood blocked access to network resources. The incident team blocked incoming ICMP packets, took non-critical services offline, and restored critical services.</w:t>
            </w:r>
          </w:p>
        </w:tc>
      </w:tr>
      <w:tr>
        <w:trPr>
          <w:cantSplit w:val="0"/>
          <w:trHeight w:val="420" w:hRule="atLeast"/>
          <w:tblHeader w:val="0"/>
          <w:cantSplit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spacing w:line="360" w:lineRule="auto"/>
              <w:rPr>
                <w:rFonts w:ascii="Google Sans" w:cs="Google Sans" w:eastAsia="Google Sans" w:hAnsi="Google Sans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rtl w:val="0"/>
              </w:rPr>
              <w:t xml:space="preserve">Identify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>
            <w:pPr>
              <w:spacing w:before="0" w:after="0" w:line="240" w:lineRule="auto"/>
            </w:pPr>
            <w:r/>
            <w:r>
              <w:rPr>
                <w:rFonts w:ascii="Google Sans" w:hAnsi="Google Sans"/>
                <w:sz w:val="18"/>
              </w:rPr>
              <w:t>Perform regular audits of firewall configurations, internal networks, systems, devices, and access privileges to identify security gaps. Record the unconfigured firewall as the vulnerability that allowed unrestricted ICMP traffic.</w:t>
            </w:r>
          </w:p>
        </w:tc>
      </w:tr>
      <w:tr>
        <w:trPr>
          <w:cantSplit w:val="0"/>
          <w:trHeight w:val="420" w:hRule="atLeast"/>
          <w:tblHeader w:val="0"/>
          <w:cantSplit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spacing w:line="360" w:lineRule="auto"/>
              <w:rPr>
                <w:rFonts w:ascii="Google Sans" w:cs="Google Sans" w:eastAsia="Google Sans" w:hAnsi="Google Sans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rtl w:val="0"/>
              </w:rPr>
              <w:t xml:space="preserve">Protect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>
            <w:pPr>
              <w:spacing w:before="0" w:after="0" w:line="240" w:lineRule="auto"/>
            </w:pPr>
            <w:r/>
            <w:r>
              <w:rPr>
                <w:rFonts w:ascii="Google Sans" w:hAnsi="Google Sans"/>
                <w:sz w:val="18"/>
              </w:rPr>
              <w:t>Rate-limit incoming ICMP traffic at the firewall and verify source IP addresses to identify spoofed traffic. Maintain secure firewall configurations and procedures to prevent excessive traffic from overwhelming internal resources.</w:t>
            </w:r>
          </w:p>
        </w:tc>
      </w:tr>
      <w:tr>
        <w:trPr>
          <w:cantSplit w:val="0"/>
          <w:trHeight w:val="630" w:hRule="atLeast"/>
          <w:tblHeader w:val="0"/>
          <w:cantSplit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spacing w:line="360" w:lineRule="auto"/>
              <w:rPr>
                <w:rFonts w:ascii="Google Sans" w:cs="Google Sans" w:eastAsia="Google Sans" w:hAnsi="Google Sans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rtl w:val="0"/>
              </w:rPr>
              <w:t xml:space="preserve">Detect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>
            <w:pPr>
              <w:spacing w:before="0" w:after="0" w:line="240" w:lineRule="auto"/>
            </w:pPr>
            <w:r/>
            <w:r>
              <w:rPr>
                <w:rFonts w:ascii="Google Sans" w:hAnsi="Google Sans"/>
                <w:sz w:val="18"/>
              </w:rPr>
              <w:t>Use network monitoring software to detect abnormal traffic patterns and an IDS/IPS to identify and filter suspicious ICMP traffic. These controls can help detect similar floods quickly.</w:t>
            </w:r>
          </w:p>
        </w:tc>
      </w:tr>
      <w:tr>
        <w:trPr>
          <w:cantSplit w:val="0"/>
          <w:trHeight w:val="420" w:hRule="atLeast"/>
          <w:tblHeader w:val="0"/>
          <w:cantSplit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spacing w:line="360" w:lineRule="auto"/>
              <w:rPr>
                <w:rFonts w:ascii="Google Sans" w:cs="Google Sans" w:eastAsia="Google Sans" w:hAnsi="Google Sans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rtl w:val="0"/>
              </w:rPr>
              <w:t xml:space="preserve">Respond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>
            <w:pPr>
              <w:spacing w:before="0" w:after="0" w:line="240" w:lineRule="auto"/>
            </w:pPr>
            <w:r/>
            <w:r>
              <w:rPr>
                <w:rFonts w:ascii="Google Sans" w:hAnsi="Google Sans"/>
                <w:sz w:val="18"/>
              </w:rPr>
              <w:t>Block malicious ICMP traffic, take non-critical services offline if needed, and prioritize critical services. Analyze the incident afterward and update response procedures based on the findings.</w:t>
            </w:r>
          </w:p>
        </w:tc>
      </w:tr>
      <w:tr>
        <w:trPr>
          <w:cantSplit w:val="0"/>
          <w:trHeight w:val="420" w:hRule="atLeast"/>
          <w:tblHeader w:val="0"/>
          <w:cantSplit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line="360" w:lineRule="auto"/>
              <w:rPr>
                <w:rFonts w:ascii="Google Sans" w:cs="Google Sans" w:eastAsia="Google Sans" w:hAnsi="Google Sans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rtl w:val="0"/>
              </w:rPr>
              <w:t xml:space="preserve">Recover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>
            <w:pPr>
              <w:spacing w:before="0" w:after="0" w:line="240" w:lineRule="auto"/>
            </w:pPr>
            <w:r/>
            <w:r>
              <w:rPr>
                <w:rFonts w:ascii="Google Sans" w:hAnsi="Google Sans"/>
                <w:sz w:val="18"/>
              </w:rPr>
              <w:t>Restore critical services first, verify that network resources are operating normally, then restore non-critical services. Review the new firewall and monitoring controls after recovery.</w:t>
            </w:r>
          </w:p>
        </w:tc>
      </w:tr>
    </w:tbl>
    <w:p w:rsidR="00000000" w:rsidDel="00000000" w:rsidP="00000000" w:rsidRDefault="00000000" w:rsidRPr="00000000" w14:paraId="0000001C">
      <w:pPr>
        <w:spacing w:after="0" w:line="80" w:lineRule="exact" w:before="0"/>
        <w:ind w:left="-360" w:right="-360" w:firstLine="0"/>
        <w:rPr>
          <w:rFonts w:ascii="Google Sans" w:cs="Google Sans" w:eastAsia="Google Sans" w:hAnsi="Google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="80" w:lineRule="exact" w:before="0"/>
        <w:ind w:left="-360" w:right="-360" w:firstLine="0"/>
        <w:rPr>
          <w:rFonts w:ascii="Google Sans" w:cs="Google Sans" w:eastAsia="Google Sans" w:hAnsi="Google Sans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80" w:lineRule="exact" w:before="0" w:after="0"/>
        <w:ind w:left="-360" w:right="-360" w:firstLine="0"/>
        <w:rPr>
          <w:rFonts w:ascii="Google Sans" w:cs="Google Sans" w:eastAsia="Google Sans" w:hAnsi="Google Sans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080.0" w:type="dxa"/>
        <w:jc w:val="left"/>
        <w:tblInd w:w="-36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080"/>
        <w:tblGridChange w:id="0">
          <w:tblGrid>
            <w:gridCol w:w="100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>
            <w:pPr>
              <w:spacing w:before="0" w:after="0" w:line="240" w:lineRule="auto"/>
            </w:pPr>
            <w:r/>
            <w:r>
              <w:rPr>
                <w:rFonts w:ascii="Google Sans" w:hAnsi="Google Sans"/>
                <w:sz w:val="18"/>
              </w:rPr>
              <w:t xml:space="preserve">Reflections/Notes: </w:t>
            </w:r>
            <w:r>
              <w:rPr>
                <w:rFonts w:ascii="Google Sans" w:hAnsi="Google Sans"/>
                <w:sz w:val="18"/>
              </w:rPr>
              <w:t>This incident shows that firewall misconfigurations can threaten network availability. The NIST CSF provides a structured approach for identifying risks, protecting assets, detecting attacks, responding quickly, and restoring services.</w:t>
            </w:r>
          </w:p>
        </w:tc>
      </w:tr>
    </w:tbl>
    <w:p w:rsidR="00000000" w:rsidDel="00000000" w:rsidP="00000000" w:rsidRDefault="00000000" w:rsidRPr="00000000" w14:paraId="00000020">
      <w:pPr>
        <w:spacing w:line="360" w:lineRule="auto"/>
        <w:ind w:left="-360" w:right="-360" w:firstLine="0"/>
        <w:rPr>
          <w:rFonts w:ascii="Google Sans" w:cs="Google Sans" w:eastAsia="Google Sans" w:hAnsi="Google Sans"/>
        </w:rPr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footerReference r:id="rId8" w:type="first"/>
      <w:pgSz w:h="15840" w:w="12240" w:orient="portrait"/>
      <w:pgMar w:bottom="1440" w:top="1440" w:left="1440" w:right="144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oogle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rPr/>
    </w:pPr>
    <w:r w:rsidDel="00000000" w:rsidR="00000000" w:rsidRPr="00000000">
      <w:rPr/>
      <w:drawing>
        <wp:inline distB="114300" distT="114300" distL="114300" distR="114300">
          <wp:extent cx="1096601" cy="814388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26277" l="13942" r="18910" t="28613"/>
                  <a:stretch>
                    <a:fillRect/>
                  </a:stretch>
                </pic:blipFill>
                <pic:spPr>
                  <a:xfrm>
                    <a:off x="0" y="0"/>
                    <a:ext cx="1096601" cy="814388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GoogleSans-regular.ttf"/><Relationship Id="rId2" Type="http://schemas.openxmlformats.org/officeDocument/2006/relationships/font" Target="fonts/GoogleSans-bold.ttf"/><Relationship Id="rId3" Type="http://schemas.openxmlformats.org/officeDocument/2006/relationships/font" Target="fonts/GoogleSans-italic.ttf"/><Relationship Id="rId4" Type="http://schemas.openxmlformats.org/officeDocument/2006/relationships/font" Target="fonts/GoogleSans-boldItalic.ttf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